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on07n787c7bz" w:id="0"/>
      <w:bookmarkEnd w:id="0"/>
      <w:r w:rsidDel="00000000" w:rsidR="00000000" w:rsidRPr="00000000">
        <w:rPr>
          <w:rtl w:val="0"/>
        </w:rPr>
        <w:t xml:space="preserve">Is my body ready to have a baby?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If you are a teenage girl, the answer is NO.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Identify the following statements as either TRUE or FALSE by putting an X on the line to the left of each TRUE statement.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5"/>
        <w:gridCol w:w="8445"/>
        <w:tblGridChange w:id="0">
          <w:tblGrid>
            <w:gridCol w:w="915"/>
            <w:gridCol w:w="844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  <w:t xml:space="preserve">Pregnant teens are more at risk for certain complications such as anemia and high blood pressure.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  <w:t xml:space="preserve">Pregnant teens are more at risk for having a miscarriage.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  <w:t xml:space="preserve">Pregnant teens are more at risk for delivering a baby earlier than usual (called premature delivery).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  <w:t xml:space="preserve">One-third of pregnant teens do not receive adequate prenatal care.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2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  <w:t xml:space="preserve">A pregnant teen’s baby is more likely to be born with a low birth weight, to have childhood health problems, and to be hospitalized than those born to older mothers.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2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  <w:t xml:space="preserve">Adolescent pregnancy is associated with higher rates of illness and death for both the mother and infant.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3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  <w:t xml:space="preserve">Teenage mothers are more likely to demonstrate behaviors such as smoking, alcohol use, or drug abuse.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3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  <w:t xml:space="preserve">A pregnant teen’s body is still developing; she is more likely to experience poor and inconsistent nutrition.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3</w:t>
            </w:r>
          </w:p>
        </w:tc>
      </w:tr>
    </w:tbl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1http://kidshealth.org/teen/sexual_health/girls/pregnancy.html</w:t>
      </w:r>
    </w:p>
    <w:p w:rsidR="00000000" w:rsidDel="00000000" w:rsidP="00000000" w:rsidRDefault="00000000" w:rsidRPr="00000000" w14:paraId="0000001A">
      <w:pPr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2Sex and America’s Teenagers. New York: Alan Guttmacher Institute. 1994</w:t>
      </w:r>
    </w:p>
    <w:p w:rsidR="00000000" w:rsidDel="00000000" w:rsidP="00000000" w:rsidRDefault="00000000" w:rsidRPr="00000000" w14:paraId="0000001B">
      <w:pPr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3www.healthcentral.com/mhc/top/001516.cfm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